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line="228" w:lineRule="auto"/>
        <w:ind w:hanging="0" w:left="360" w:right="0"/>
        <w:jc w:val="right"/>
      </w:pPr>
      <w:r>
        <w:rPr>
          <w:b/>
          <w:i/>
          <w:lang w:eastAsia="ru-RU" w:val="ru-RU"/>
        </w:rPr>
        <w:t>Южаков М.А</w:t>
      </w:r>
      <w:r>
        <w:rPr>
          <w:b/>
          <w:i/>
          <w:lang w:eastAsia="ru-RU"/>
        </w:rPr>
        <w:t>.</w:t>
      </w:r>
    </w:p>
    <w:p>
      <w:pPr>
        <w:pStyle w:val="style0"/>
        <w:spacing w:line="228" w:lineRule="auto"/>
        <w:ind w:hanging="0" w:left="360" w:right="0"/>
        <w:jc w:val="right"/>
      </w:pPr>
      <w:r>
        <w:rPr>
          <w:b/>
          <w:i/>
          <w:lang w:eastAsia="ru-RU"/>
        </w:rPr>
        <w:t>м. Київ</w:t>
      </w:r>
    </w:p>
    <w:p>
      <w:pPr>
        <w:pStyle w:val="style0"/>
        <w:spacing w:line="228" w:lineRule="auto"/>
        <w:ind w:hanging="0" w:left="360" w:right="0"/>
        <w:jc w:val="right"/>
      </w:pPr>
      <w:r>
        <w:rPr>
          <w:b/>
          <w:i/>
          <w:lang w:eastAsia="ru-RU" w:val="en-US"/>
        </w:rPr>
        <w:t>yuzhakov</w:t>
      </w:r>
      <w:r>
        <w:rPr>
          <w:b/>
          <w:i/>
          <w:lang w:eastAsia="ru-RU" w:val="ru-RU"/>
        </w:rPr>
        <w:t>.</w:t>
      </w:r>
      <w:r>
        <w:rPr>
          <w:b/>
          <w:i/>
          <w:lang w:eastAsia="ru-RU" w:val="en-US"/>
        </w:rPr>
        <w:t>nikita</w:t>
      </w:r>
      <w:r>
        <w:rPr>
          <w:b/>
          <w:i/>
          <w:lang w:eastAsia="ru-RU" w:val="ru-RU"/>
        </w:rPr>
        <w:t>@</w:t>
      </w:r>
      <w:r>
        <w:rPr>
          <w:b/>
          <w:i/>
          <w:lang w:eastAsia="ru-RU" w:val="en-US"/>
        </w:rPr>
        <w:t>gmail</w:t>
      </w:r>
      <w:r>
        <w:rPr>
          <w:b/>
          <w:i/>
          <w:lang w:eastAsia="ru-RU" w:val="ru-RU"/>
        </w:rPr>
        <w:t>.</w:t>
      </w:r>
      <w:r>
        <w:rPr>
          <w:b/>
          <w:i/>
          <w:lang w:eastAsia="ru-RU" w:val="en-US"/>
        </w:rPr>
        <w:t>com</w:t>
      </w:r>
    </w:p>
    <w:p>
      <w:pPr>
        <w:pStyle w:val="style0"/>
        <w:spacing w:line="360" w:lineRule="auto"/>
        <w:jc w:val="center"/>
      </w:pPr>
      <w:r>
        <w:rPr>
          <w:sz w:val="32"/>
          <w:szCs w:val="28"/>
          <w:lang w:val="ru-RU"/>
        </w:rPr>
        <w:t>Застосування м</w:t>
      </w:r>
      <w:r>
        <w:rPr>
          <w:sz w:val="32"/>
          <w:szCs w:val="28"/>
        </w:rPr>
        <w:t>етод</w:t>
      </w:r>
      <w:r>
        <w:rPr>
          <w:sz w:val="32"/>
          <w:szCs w:val="28"/>
          <w:lang w:val="ru-RU"/>
        </w:rPr>
        <w:t>ів</w:t>
      </w:r>
      <w:r>
        <w:rPr>
          <w:sz w:val="32"/>
          <w:szCs w:val="28"/>
        </w:rPr>
        <w:t xml:space="preserve"> біометричної ідентифікації особи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 xml:space="preserve">За останні 5 років біометричні технології змогли подолати дві значні перешкоди, які заважали їх широкому впровадженню. Цими перешкодами були </w:t>
      </w:r>
      <w:r>
        <w:rPr>
          <w:i/>
          <w:sz w:val="28"/>
          <w:szCs w:val="28"/>
        </w:rPr>
        <w:t>вартість</w:t>
      </w:r>
      <w:r>
        <w:rPr>
          <w:sz w:val="28"/>
          <w:szCs w:val="28"/>
        </w:rPr>
        <w:t xml:space="preserve"> і </w:t>
      </w:r>
      <w:r>
        <w:rPr>
          <w:i/>
          <w:sz w:val="28"/>
          <w:szCs w:val="28"/>
        </w:rPr>
        <w:t>простота використання</w:t>
      </w:r>
      <w:r>
        <w:rPr>
          <w:sz w:val="28"/>
          <w:szCs w:val="28"/>
        </w:rPr>
        <w:t>. Завдяки перемозі над ними, дослідникам відкрилися небачені до цього можливості у сфері розвитку аутентифікації.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</w:r>
    </w:p>
    <w:p>
      <w:pPr>
        <w:pStyle w:val="style0"/>
        <w:spacing w:line="360" w:lineRule="auto"/>
        <w:jc w:val="center"/>
      </w:pPr>
      <w:r>
        <w:rPr>
          <w:sz w:val="28"/>
          <w:szCs w:val="28"/>
        </w:rPr>
        <w:t>Розповсюджені методи біометричної ідентифікації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>Аналіз відбитків пальців</w:t>
      </w:r>
      <w:r>
        <w:rPr>
          <w:sz w:val="28"/>
          <w:szCs w:val="28"/>
        </w:rPr>
        <w:t xml:space="preserve">.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В основі цього методу лежить унікальність для кожної людини папілярних візерунків пальців. Дана технологія є найпоширенішою серед усіх біометричних методів.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 xml:space="preserve">Аналіз форми долоні.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 xml:space="preserve">Даний метод, побудований на унікальності геометрії кисті руки. За допомогою спеціального пристрою будується тривимірний образ кисті руки, за яким формується згортка і розпізнається особистість.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>Аналіз форми обличчя.</w:t>
      </w:r>
      <w:r>
        <w:rPr>
          <w:sz w:val="28"/>
          <w:szCs w:val="28"/>
        </w:rPr>
        <w:t xml:space="preserve">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 xml:space="preserve">У цьому методі ідентифікації будується тривимірний образ обличчя, виділяються контури брів, очей, носа, губ.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>Аналіз сітківки ока та райдужної оболонки ока.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Методи, побудований на скануванні унікальних особливостей ока людини. Сканування райдужної оболонки є новою і менш поширеною технологією, ніж сканування сітківки.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>Аналіз почерку</w:t>
      </w:r>
      <w:r>
        <w:rPr>
          <w:sz w:val="28"/>
          <w:szCs w:val="28"/>
        </w:rPr>
        <w:t xml:space="preserve">.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Як правило, для цього виду ідентифікації особи використовується її підпис. Аналізується як сам підпис (ступінь схожості), так і динамічні характеристики написання.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i/>
          <w:sz w:val="28"/>
          <w:szCs w:val="28"/>
        </w:rPr>
        <w:t>Аналіз клавіатурного почерку.</w:t>
      </w:r>
      <w:r>
        <w:rPr>
          <w:sz w:val="28"/>
          <w:szCs w:val="28"/>
        </w:rPr>
        <w:t xml:space="preserve">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Основною характеристикою, за якою будується згортка для ідентифікації - динаміка набору кодового слова.</w:t>
      </w:r>
    </w:p>
    <w:p>
      <w:pPr>
        <w:pStyle w:val="style0"/>
        <w:spacing w:line="360" w:lineRule="auto"/>
        <w:ind w:hanging="0" w:left="708" w:right="0"/>
        <w:jc w:val="both"/>
      </w:pPr>
      <w:r>
        <w:rPr>
          <w:i/>
          <w:sz w:val="28"/>
          <w:szCs w:val="28"/>
        </w:rPr>
        <w:t>Аналіз голосу.</w:t>
      </w:r>
      <w:r>
        <w:rPr>
          <w:sz w:val="28"/>
          <w:szCs w:val="28"/>
        </w:rPr>
        <w:t xml:space="preserve">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При цьому аналізуються різні поєднання частотних і статистичних характеристик голосу.</w:t>
      </w:r>
    </w:p>
    <w:p>
      <w:pPr>
        <w:pStyle w:val="style0"/>
        <w:spacing w:line="360" w:lineRule="auto"/>
        <w:jc w:val="both"/>
      </w:pPr>
      <w:r>
        <w:rPr>
          <w:szCs w:val="28"/>
        </w:rPr>
      </w:r>
    </w:p>
    <w:p>
      <w:pPr>
        <w:pStyle w:val="style0"/>
        <w:tabs>
          <w:tab w:leader="none" w:pos="3300" w:val="left"/>
        </w:tabs>
        <w:spacing w:line="360" w:lineRule="auto"/>
        <w:jc w:val="center"/>
      </w:pPr>
      <w:r>
        <w:rPr>
          <w:sz w:val="28"/>
          <w:szCs w:val="28"/>
        </w:rPr>
        <w:t>Інноваційні методи біометричної ідентифікації</w:t>
      </w:r>
    </w:p>
    <w:p>
      <w:pPr>
        <w:pStyle w:val="style0"/>
        <w:spacing w:line="360" w:lineRule="auto"/>
        <w:ind w:hanging="0" w:left="708" w:right="0"/>
        <w:jc w:val="both"/>
      </w:pPr>
      <w:r>
        <w:rPr>
          <w:i/>
          <w:sz w:val="28"/>
          <w:szCs w:val="28"/>
        </w:rPr>
        <w:t>Аналіз запаху.</w:t>
      </w:r>
      <w:r>
        <w:rPr>
          <w:sz w:val="28"/>
          <w:szCs w:val="28"/>
        </w:rPr>
        <w:t xml:space="preserve">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  <w:szCs w:val="28"/>
        </w:rPr>
        <w:t>Не так давно хіміки з Лестерського університету розробили пристрій, здатний розпізнавати людей і місцевість за запахом. Електронний ніс зможе дізнатися марку парфумів або визначити "власника" дихання або запаху тіла менше ніж за 30 секунд, аналізуючи леткі органічні сполуки і порівнюючи їх з наявними в базі даних. Таким чином, до набору біометричних даних про людину додався ще один параметр - "відбиток запаху"</w:t>
      </w:r>
      <w:r>
        <w:rPr>
          <w:sz w:val="28"/>
          <w:szCs w:val="28"/>
          <w:lang w:val="ru-RU"/>
        </w:rPr>
        <w:t xml:space="preserve"> [1]</w:t>
      </w:r>
      <w:r>
        <w:rPr>
          <w:sz w:val="28"/>
          <w:szCs w:val="28"/>
        </w:rPr>
        <w:t>.</w:t>
      </w:r>
    </w:p>
    <w:p>
      <w:pPr>
        <w:pStyle w:val="style0"/>
        <w:spacing w:line="360" w:lineRule="auto"/>
        <w:ind w:hanging="0" w:left="708" w:right="0"/>
        <w:jc w:val="both"/>
      </w:pPr>
      <w:r>
        <w:rPr>
          <w:i/>
          <w:sz w:val="28"/>
          <w:szCs w:val="28"/>
        </w:rPr>
        <w:t>Аналіз енцефалограми.</w:t>
      </w:r>
      <w:r>
        <w:rPr>
          <w:sz w:val="28"/>
          <w:szCs w:val="28"/>
        </w:rPr>
        <w:t xml:space="preserve"> </w:t>
      </w:r>
    </w:p>
    <w:p>
      <w:pPr>
        <w:pStyle w:val="style0"/>
        <w:spacing w:line="360" w:lineRule="auto"/>
        <w:ind w:firstLine="708" w:left="0" w:right="0"/>
        <w:jc w:val="both"/>
      </w:pPr>
      <w:r>
        <w:rPr>
          <w:sz w:val="28"/>
        </w:rPr>
        <w:t>У процесі електроенцефалографічного дослідження визначається область і інтенсивність електричних імпульсів тривалістю в кілька мілісекунд в мозку пацієнта. Система здійснює моніторинг електричної активності мозку і відсилає інформацію по бездротовому зв'язку на комп'ютер. Далі формується своєрідний цифровий портрет користувача [1]. При подальшій ідентифікації система порівнює енцефалограму з раніше записаною, і комп'ютер робить висновок про особистість людини.</w:t>
      </w:r>
    </w:p>
    <w:p>
      <w:pPr>
        <w:pStyle w:val="style0"/>
        <w:shd w:fill="FFFFFF" w:val="clear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360" w:lineRule="auto"/>
        <w:jc w:val="both"/>
      </w:pPr>
      <w:r>
        <w:rPr>
          <w:color w:val="212121"/>
          <w:sz w:val="28"/>
          <w:szCs w:val="20"/>
          <w:lang w:eastAsia="en-US"/>
        </w:rPr>
        <w:tab/>
      </w:r>
      <w:r>
        <w:rPr>
          <w:i/>
          <w:color w:val="212121"/>
          <w:sz w:val="28"/>
          <w:szCs w:val="20"/>
          <w:lang w:eastAsia="en-US" w:val="ru-RU"/>
        </w:rPr>
        <w:t>Аналіз</w:t>
      </w:r>
      <w:r>
        <w:rPr>
          <w:i/>
          <w:color w:val="212121"/>
          <w:sz w:val="28"/>
          <w:szCs w:val="20"/>
          <w:lang w:eastAsia="en-US"/>
        </w:rPr>
        <w:t xml:space="preserve"> по </w:t>
      </w:r>
      <w:r>
        <w:rPr>
          <w:i/>
          <w:color w:val="212121"/>
          <w:sz w:val="28"/>
          <w:szCs w:val="20"/>
          <w:lang w:eastAsia="en-US" w:val="ru-RU"/>
        </w:rPr>
        <w:t xml:space="preserve">малюнку </w:t>
      </w:r>
      <w:r>
        <w:rPr>
          <w:i/>
          <w:color w:val="212121"/>
          <w:sz w:val="28"/>
          <w:szCs w:val="20"/>
          <w:lang w:eastAsia="en-US"/>
        </w:rPr>
        <w:t>вен руки</w:t>
      </w:r>
      <w:r>
        <w:rPr>
          <w:i/>
          <w:color w:val="212121"/>
          <w:sz w:val="28"/>
          <w:szCs w:val="20"/>
          <w:lang w:eastAsia="en-US" w:val="ru-RU"/>
        </w:rPr>
        <w:t>.</w:t>
      </w:r>
    </w:p>
    <w:p>
      <w:pPr>
        <w:pStyle w:val="style0"/>
        <w:shd w:fill="FFFFFF" w:val="clear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360" w:lineRule="auto"/>
        <w:jc w:val="both"/>
      </w:pPr>
      <w:r>
        <w:rPr>
          <w:color w:val="212121"/>
          <w:sz w:val="28"/>
          <w:szCs w:val="20"/>
          <w:lang w:eastAsia="en-US"/>
        </w:rPr>
        <w:tab/>
        <w:t>Це нова технологія у сфері біометрії, широке застосування її почалося всього років 5-10 тому. Інфрачервона камера робить знімки зовнішньої або внутрішньої сторони руки. Малюнок вен формується завдяки тому, що гемоглобін крові поглинає ІЧ випромінювання. В результаті, ступінь відображення зменшується, і вени видно на камері у вигляді чорних ліній. Спеціальна програма на основі отриманих даних створює цифрову згортку</w:t>
      </w:r>
      <w:r>
        <w:rPr>
          <w:color w:val="212121"/>
          <w:sz w:val="28"/>
          <w:szCs w:val="20"/>
          <w:lang w:eastAsia="en-US" w:val="ru-RU"/>
        </w:rPr>
        <w:t xml:space="preserve"> [2]</w:t>
      </w:r>
      <w:r>
        <w:rPr>
          <w:color w:val="212121"/>
          <w:sz w:val="28"/>
          <w:szCs w:val="20"/>
          <w:lang w:eastAsia="en-US"/>
        </w:rPr>
        <w:t>. Не потріб</w:t>
      </w:r>
      <w:r>
        <w:rPr>
          <w:color w:val="212121"/>
          <w:sz w:val="28"/>
          <w:szCs w:val="20"/>
          <w:lang w:eastAsia="en-US" w:val="ru-RU"/>
        </w:rPr>
        <w:t>ен</w:t>
      </w:r>
      <w:r>
        <w:rPr>
          <w:color w:val="212121"/>
          <w:sz w:val="28"/>
          <w:szCs w:val="20"/>
          <w:lang w:eastAsia="en-US"/>
        </w:rPr>
        <w:t xml:space="preserve"> контакт людини з</w:t>
      </w:r>
      <w:r>
        <w:rPr>
          <w:color w:val="212121"/>
          <w:sz w:val="28"/>
          <w:szCs w:val="20"/>
          <w:lang w:eastAsia="en-US" w:val="ru-RU"/>
        </w:rPr>
        <w:t>і</w:t>
      </w:r>
      <w:r>
        <w:rPr>
          <w:color w:val="212121"/>
          <w:sz w:val="28"/>
          <w:szCs w:val="20"/>
          <w:lang w:eastAsia="en-US"/>
        </w:rPr>
        <w:t xml:space="preserve"> скануючим пристроєм.</w:t>
      </w:r>
      <w:r>
        <w:rPr>
          <w:color w:val="212121"/>
          <w:sz w:val="28"/>
          <w:szCs w:val="20"/>
          <w:lang w:eastAsia="en-US" w:val="ru-RU"/>
        </w:rPr>
        <w:t xml:space="preserve"> </w:t>
      </w:r>
      <w:r>
        <w:rPr>
          <w:color w:val="212121"/>
          <w:sz w:val="28"/>
          <w:szCs w:val="20"/>
          <w:lang w:eastAsia="en-US"/>
        </w:rPr>
        <w:t>Технологію по надійності можна порівняти з розпізнаванням по райдужній оболонці ока; в чомусь вона перевершує її, а в чомусь поступається.</w:t>
      </w:r>
    </w:p>
    <w:p>
      <w:pPr>
        <w:pStyle w:val="style0"/>
        <w:spacing w:line="360" w:lineRule="auto"/>
        <w:jc w:val="center"/>
      </w:pPr>
      <w:bookmarkStart w:id="0" w:name="_GoBack"/>
      <w:bookmarkEnd w:id="0"/>
      <w:r>
        <w:rPr>
          <w:sz w:val="28"/>
          <w:szCs w:val="28"/>
        </w:rPr>
        <w:t>Порівняння методів біометричної ідентифікації [3]</w:t>
      </w:r>
    </w:p>
    <w:p>
      <w:pPr>
        <w:pStyle w:val="style0"/>
        <w:spacing w:line="360" w:lineRule="auto"/>
        <w:jc w:val="both"/>
      </w:pPr>
      <w:r>
        <w:rPr>
          <w:i/>
          <w:sz w:val="28"/>
          <w:szCs w:val="28"/>
        </w:rPr>
        <w:t xml:space="preserve">Таблиця 1 </w:t>
      </w:r>
    </w:p>
    <w:tbl>
      <w:tblPr>
        <w:jc w:val="left"/>
        <w:tblInd w:type="dxa" w:w="-57"/>
        <w:tblBorders/>
      </w:tblPr>
      <w:tblGrid>
        <w:gridCol w:w="1695"/>
        <w:gridCol w:w="1700"/>
        <w:gridCol w:w="1417"/>
        <w:gridCol w:w="1276"/>
        <w:gridCol w:w="992"/>
        <w:gridCol w:w="1212"/>
        <w:gridCol w:w="1490"/>
      </w:tblGrid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Назва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Універсальність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Унікальність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Незмінність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Легкість збирання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Доступніть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Ефективність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В</w:t>
            </w:r>
            <w:r>
              <w:rPr>
                <w:sz w:val="20"/>
                <w:szCs w:val="22"/>
              </w:rPr>
              <w:t>ідб</w:t>
            </w:r>
            <w:r>
              <w:rPr>
                <w:sz w:val="20"/>
                <w:szCs w:val="22"/>
                <w:lang w:val="ru-RU"/>
              </w:rPr>
              <w:t>.</w:t>
            </w:r>
            <w:r>
              <w:rPr>
                <w:sz w:val="20"/>
                <w:szCs w:val="22"/>
              </w:rPr>
              <w:t xml:space="preserve"> пальців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Ф</w:t>
            </w:r>
            <w:r>
              <w:rPr>
                <w:sz w:val="20"/>
                <w:szCs w:val="22"/>
              </w:rPr>
              <w:t>орма долоні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Ні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Ф</w:t>
            </w:r>
            <w:r>
              <w:rPr>
                <w:sz w:val="20"/>
                <w:szCs w:val="22"/>
              </w:rPr>
              <w:t>орма обличчя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Ні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</w:t>
            </w:r>
            <w:r>
              <w:rPr>
                <w:sz w:val="20"/>
                <w:szCs w:val="22"/>
              </w:rPr>
              <w:t>ітк</w:t>
            </w:r>
            <w:r>
              <w:rPr>
                <w:sz w:val="20"/>
                <w:szCs w:val="22"/>
                <w:lang w:val="ru-RU"/>
              </w:rPr>
              <w:t>.</w:t>
            </w:r>
            <w:r>
              <w:rPr>
                <w:sz w:val="20"/>
                <w:szCs w:val="22"/>
              </w:rPr>
              <w:t xml:space="preserve"> та райд</w:t>
            </w:r>
            <w:r>
              <w:rPr>
                <w:sz w:val="20"/>
                <w:szCs w:val="22"/>
                <w:lang w:val="ru-RU"/>
              </w:rPr>
              <w:t>.</w:t>
            </w:r>
            <w:r>
              <w:rPr>
                <w:sz w:val="20"/>
                <w:szCs w:val="22"/>
              </w:rPr>
              <w:t xml:space="preserve"> оболонка</w:t>
            </w:r>
            <w:r>
              <w:rPr>
                <w:sz w:val="20"/>
                <w:szCs w:val="22"/>
                <w:lang w:val="ru-RU"/>
              </w:rPr>
              <w:t xml:space="preserve"> ока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sz w:val="20"/>
                <w:lang w:val="ru-RU"/>
              </w:rPr>
              <w:t>Високо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П</w:t>
            </w:r>
            <w:r>
              <w:rPr>
                <w:sz w:val="20"/>
                <w:szCs w:val="22"/>
              </w:rPr>
              <w:t>очерку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 xml:space="preserve">Клав. </w:t>
            </w:r>
            <w:r>
              <w:rPr>
                <w:sz w:val="20"/>
                <w:szCs w:val="22"/>
              </w:rPr>
              <w:t>почерк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Г</w:t>
            </w:r>
            <w:r>
              <w:rPr>
                <w:sz w:val="20"/>
                <w:szCs w:val="22"/>
              </w:rPr>
              <w:t>олос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З</w:t>
            </w:r>
            <w:r>
              <w:rPr>
                <w:sz w:val="20"/>
                <w:szCs w:val="22"/>
              </w:rPr>
              <w:t>апах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sz w:val="20"/>
                <w:lang w:val="ru-RU"/>
              </w:rPr>
              <w:t>Низько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Е</w:t>
            </w:r>
            <w:r>
              <w:rPr>
                <w:sz w:val="20"/>
                <w:szCs w:val="22"/>
              </w:rPr>
              <w:t>нцефалограма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Ні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Слабко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sz w:val="20"/>
                <w:szCs w:val="22"/>
                <w:lang w:val="ru-RU"/>
              </w:rPr>
              <w:t>Середньо</w:t>
            </w:r>
          </w:p>
        </w:tc>
      </w:tr>
      <w:tr>
        <w:trPr>
          <w:cantSplit w:val="false"/>
        </w:trPr>
        <w:tc>
          <w:tcPr>
            <w:tcW w:type="dxa" w:w="1695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color w:val="212121"/>
                <w:sz w:val="20"/>
                <w:szCs w:val="22"/>
                <w:lang w:eastAsia="en-US" w:val="ru-RU"/>
              </w:rPr>
              <w:t>В</w:t>
            </w:r>
            <w:r>
              <w:rPr>
                <w:color w:val="212121"/>
                <w:sz w:val="20"/>
                <w:szCs w:val="22"/>
                <w:lang w:eastAsia="en-US"/>
              </w:rPr>
              <w:t>ени руки</w:t>
            </w:r>
          </w:p>
        </w:tc>
        <w:tc>
          <w:tcPr>
            <w:tcW w:type="dxa" w:w="170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17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76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99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212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szCs w:val="22"/>
                <w:lang w:val="ru-RU"/>
              </w:rPr>
              <w:t>Так</w:t>
            </w:r>
          </w:p>
        </w:tc>
        <w:tc>
          <w:tcPr>
            <w:tcW w:type="dxa" w:w="1490"/>
            <w:tcBorders/>
            <w:shd w:fill="auto" w:val="clear"/>
            <w:tcMar>
              <w:top w:type="dxa" w:w="0"/>
              <w:left w:type="dxa" w:w="57"/>
              <w:bottom w:type="dxa" w:w="0"/>
              <w:right w:type="dxa" w:w="57"/>
            </w:tcMar>
          </w:tcPr>
          <w:p>
            <w:pPr>
              <w:pStyle w:val="style0"/>
              <w:spacing w:line="360" w:lineRule="auto"/>
            </w:pPr>
            <w:r>
              <w:rPr>
                <w:sz w:val="20"/>
                <w:lang w:val="ru-RU"/>
              </w:rPr>
              <w:t>Високо</w:t>
            </w:r>
          </w:p>
        </w:tc>
      </w:tr>
    </w:tbl>
    <w:p>
      <w:pPr>
        <w:pStyle w:val="style0"/>
        <w:spacing w:line="360" w:lineRule="auto"/>
        <w:jc w:val="center"/>
      </w:pPr>
      <w:r>
        <w:rPr>
          <w:sz w:val="28"/>
          <w:szCs w:val="28"/>
          <w:lang w:val="ru-RU"/>
        </w:rPr>
        <w:t>Висновки</w:t>
      </w:r>
    </w:p>
    <w:p>
      <w:pPr>
        <w:pStyle w:val="style0"/>
        <w:spacing w:line="360" w:lineRule="auto"/>
        <w:jc w:val="both"/>
      </w:pPr>
      <w:r>
        <w:rPr>
          <w:sz w:val="28"/>
          <w:szCs w:val="28"/>
        </w:rPr>
        <w:tab/>
        <w:t xml:space="preserve">В данній роботі були порівняні різноманітні методи біометричної ідентифікації за такими параметрами як універсальність, унікальність, незмінність, легкість збирання, доступність та ефективність. </w:t>
      </w:r>
      <w:r>
        <w:rPr>
          <w:sz w:val="28"/>
          <w:szCs w:val="28"/>
          <w:lang w:val="ru-RU"/>
        </w:rPr>
        <w:t>З таблиці 1</w:t>
      </w:r>
      <w:r>
        <w:rPr>
          <w:sz w:val="28"/>
          <w:szCs w:val="28"/>
        </w:rPr>
        <w:t>, інтегруючи</w:t>
      </w:r>
      <w:r>
        <w:rPr>
          <w:sz w:val="28"/>
          <w:szCs w:val="28"/>
          <w:lang w:val="ru-RU"/>
        </w:rPr>
        <w:t xml:space="preserve"> всі показники, можно зробити висновок, що на сьогодняшій день найкращим методом є аналіз малюнків вени руки. Ця техноголія є відносно новою, але вже має широке застосування. Отже, біометрія розвивається досить стрімко та потребує постійного аналізу нових методів ідентифікації для отримання кращих результатів.</w:t>
      </w:r>
    </w:p>
    <w:p>
      <w:pPr>
        <w:pStyle w:val="style0"/>
        <w:spacing w:line="360" w:lineRule="auto"/>
        <w:jc w:val="both"/>
      </w:pPr>
      <w:r>
        <w:rPr>
          <w:sz w:val="28"/>
          <w:szCs w:val="28"/>
          <w:lang w:val="ru-RU"/>
        </w:rPr>
      </w:r>
    </w:p>
    <w:p>
      <w:pPr>
        <w:pStyle w:val="style0"/>
        <w:spacing w:line="360" w:lineRule="auto"/>
        <w:jc w:val="both"/>
      </w:pPr>
      <w:r>
        <w:rPr>
          <w:sz w:val="28"/>
          <w:szCs w:val="28"/>
          <w:lang w:val="ru-RU"/>
        </w:rPr>
        <w:t>Література:</w:t>
      </w:r>
    </w:p>
    <w:p>
      <w:pPr>
        <w:pStyle w:val="style31"/>
        <w:numPr>
          <w:ilvl w:val="0"/>
          <w:numId w:val="1"/>
        </w:numPr>
        <w:ind w:hanging="284" w:left="284" w:right="0"/>
        <w:jc w:val="both"/>
      </w:pPr>
      <w:r>
        <w:rPr>
          <w:color w:val="000000"/>
          <w:sz w:val="28"/>
          <w:szCs w:val="28"/>
        </w:rPr>
        <w:t>Ландэ Э., Фурашев В. (2007).</w:t>
      </w:r>
      <w:r>
        <w:rPr>
          <w:rStyle w:val="style20"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О цифровой идентификация личности</w:t>
      </w:r>
      <w:r>
        <w:rPr>
          <w:color w:val="000000"/>
          <w:sz w:val="28"/>
          <w:szCs w:val="28"/>
        </w:rPr>
        <w:t>. Харьков: НАКУ. 127-135.</w:t>
      </w:r>
      <w:r>
        <w:rPr>
          <w:color w:val="000000"/>
          <w:sz w:val="28"/>
          <w:szCs w:val="28"/>
          <w:lang w:val="ru-RU"/>
        </w:rPr>
        <w:t xml:space="preserve"> </w:t>
      </w:r>
    </w:p>
    <w:p>
      <w:pPr>
        <w:pStyle w:val="style31"/>
        <w:numPr>
          <w:ilvl w:val="0"/>
          <w:numId w:val="1"/>
        </w:numPr>
        <w:ind w:hanging="284" w:left="284" w:right="0"/>
        <w:jc w:val="both"/>
      </w:pPr>
      <w:r>
        <w:rPr>
          <w:color w:val="000000"/>
          <w:sz w:val="28"/>
          <w:szCs w:val="28"/>
        </w:rPr>
        <w:t>Мальцев А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 xml:space="preserve"> (2011).</w:t>
      </w:r>
      <w:r>
        <w:rPr>
          <w:rStyle w:val="style20"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Современные биометрические методы идентификации.</w:t>
      </w:r>
      <w:r>
        <w:rPr>
          <w:rStyle w:val="style20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Available: http://habrahabr.ru/post/126144/. Last accessed 1st Nov 2015.</w:t>
      </w:r>
    </w:p>
    <w:p>
      <w:pPr>
        <w:pStyle w:val="style31"/>
        <w:numPr>
          <w:ilvl w:val="0"/>
          <w:numId w:val="1"/>
        </w:numPr>
        <w:ind w:hanging="284" w:left="284" w:right="0"/>
        <w:jc w:val="both"/>
      </w:pPr>
      <w:r>
        <w:rPr>
          <w:sz w:val="28"/>
          <w:lang w:val="ru-RU"/>
        </w:rPr>
        <w:t xml:space="preserve">Аль-Абед М., Чариер К. (2012). </w:t>
      </w:r>
      <w:r>
        <w:rPr>
          <w:i/>
          <w:sz w:val="28"/>
        </w:rPr>
        <w:t>Evaluation of Biometric Systems</w:t>
      </w:r>
      <w:r>
        <w:rPr>
          <w:i/>
          <w:sz w:val="28"/>
          <w:lang w:val="en-US"/>
        </w:rPr>
        <w:t>.</w:t>
      </w:r>
      <w:r>
        <w:rPr>
          <w:sz w:val="28"/>
          <w:lang w:val="en-US"/>
        </w:rPr>
        <w:t xml:space="preserve"> Available: http://cdn.intechopen.com/pdfs-wm/41062.pdf. Last accessed 4th Nov 2015.</w:t>
      </w:r>
    </w:p>
    <w:sectPr>
      <w:footerReference r:id="rId2" w:type="even"/>
      <w:footerReference r:id="rId3" w:type="default"/>
      <w:type w:val="nextPage"/>
      <w:pgSz w:h="16838" w:w="11906"/>
      <w:pgMar w:bottom="1134" w:footer="709" w:gutter="0" w:header="0" w:left="1134" w:right="1134" w:top="1134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pStyle w:val="style30"/>
    <w:pPr/>
  </w:p>
  <w:p>
    <w:pPr>
      <w:pStyle w:val="style30"/>
      <w:ind w:hanging="0" w:left="0" w:right="360"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17"/>
        <w:lang w:val="ru-RU"/>
      </w:rPr>
      <w:t xml:space="preserve"> </w:t>
    </w:r>
    <w:pStyle w:val="style30"/>
    <w:pPr/>
  </w:p>
  <w:p>
    <w:pPr>
      <w:pStyle w:val="style30"/>
      <w:ind w:hanging="0" w:left="0" w:right="360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720"/>
      </w:pPr>
      <w:rPr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auto"/>
      <w:sz w:val="24"/>
      <w:szCs w:val="24"/>
      <w:lang w:bidi="ar-SA" w:eastAsia="uk-UA" w:val="uk-UA"/>
    </w:rPr>
  </w:style>
  <w:style w:styleId="style15" w:type="character">
    <w:name w:val="Default Paragraph Font"/>
    <w:next w:val="style15"/>
    <w:rPr/>
  </w:style>
  <w:style w:styleId="style16" w:type="character">
    <w:name w:val="Footer Char"/>
    <w:basedOn w:val="style15"/>
    <w:next w:val="style16"/>
    <w:rPr>
      <w:rFonts w:ascii="Times New Roman" w:cs="Times New Roman" w:eastAsia="Times New Roman" w:hAnsi="Times New Roman"/>
      <w:sz w:val="24"/>
      <w:szCs w:val="24"/>
      <w:lang w:eastAsia="uk-UA" w:val="uk-UA"/>
    </w:rPr>
  </w:style>
  <w:style w:styleId="style17" w:type="character">
    <w:name w:val="page number"/>
    <w:basedOn w:val="style15"/>
    <w:next w:val="style17"/>
    <w:rPr/>
  </w:style>
  <w:style w:styleId="style18" w:type="character">
    <w:name w:val="Header Char"/>
    <w:basedOn w:val="style15"/>
    <w:next w:val="style18"/>
    <w:rPr>
      <w:rFonts w:ascii="Times New Roman" w:cs="Times New Roman" w:eastAsia="Times New Roman" w:hAnsi="Times New Roman"/>
      <w:sz w:val="24"/>
      <w:szCs w:val="24"/>
      <w:lang w:eastAsia="uk-UA" w:val="uk-UA"/>
    </w:rPr>
  </w:style>
  <w:style w:styleId="style19" w:type="character">
    <w:name w:val="HTML Preformatted Char"/>
    <w:basedOn w:val="style15"/>
    <w:next w:val="style19"/>
    <w:rPr>
      <w:rFonts w:ascii="Courier New" w:cs="Courier New" w:eastAsia="Times New Roman" w:hAnsi="Courier New"/>
      <w:sz w:val="20"/>
      <w:szCs w:val="20"/>
      <w:lang w:eastAsia="en-US" w:val="en-US"/>
    </w:rPr>
  </w:style>
  <w:style w:styleId="style20" w:type="character">
    <w:name w:val="apple-converted-space"/>
    <w:next w:val="style20"/>
    <w:rPr/>
  </w:style>
  <w:style w:styleId="style21" w:type="character">
    <w:name w:val="Интернет-ссылка"/>
    <w:basedOn w:val="style15"/>
    <w:next w:val="style21"/>
    <w:rPr>
      <w:color w:val="0563C1"/>
      <w:u w:val="single"/>
      <w:lang w:bidi="ru-RU" w:eastAsia="ru-RU" w:val="ru-RU"/>
    </w:rPr>
  </w:style>
  <w:style w:styleId="style22" w:type="character">
    <w:name w:val="ListLabel 1"/>
    <w:next w:val="style22"/>
    <w:rPr>
      <w:sz w:val="18"/>
    </w:rPr>
  </w:style>
  <w:style w:styleId="style23" w:type="character">
    <w:name w:val="ListLabel 2"/>
    <w:next w:val="style23"/>
    <w:rPr>
      <w:rFonts w:cs="Courier New"/>
    </w:rPr>
  </w:style>
  <w:style w:styleId="style24" w:type="character">
    <w:name w:val="ListLabel 3"/>
    <w:next w:val="style24"/>
    <w:rPr>
      <w:rFonts w:cs="Times New Roman"/>
      <w:color w:val="000000"/>
      <w:sz w:val="28"/>
      <w:szCs w:val="28"/>
    </w:rPr>
  </w:style>
  <w:style w:styleId="style25" w:type="paragraph">
    <w:name w:val="Заголовок"/>
    <w:basedOn w:val="style0"/>
    <w:next w:val="style26"/>
    <w:pPr>
      <w:keepNext/>
      <w:spacing w:after="120" w:before="240"/>
    </w:pPr>
    <w:rPr>
      <w:rFonts w:ascii="Liberation Sans" w:cs="FreeSans" w:eastAsia="WenQuanYi Zen Hei" w:hAnsi="Liberation Sans"/>
      <w:sz w:val="28"/>
      <w:szCs w:val="28"/>
    </w:rPr>
  </w:style>
  <w:style w:styleId="style26" w:type="paragraph">
    <w:name w:val="Основной текст"/>
    <w:basedOn w:val="style0"/>
    <w:next w:val="style26"/>
    <w:pPr>
      <w:spacing w:after="120" w:before="0"/>
    </w:pPr>
    <w:rPr/>
  </w:style>
  <w:style w:styleId="style27" w:type="paragraph">
    <w:name w:val="Список"/>
    <w:basedOn w:val="style26"/>
    <w:next w:val="style27"/>
    <w:pPr/>
    <w:rPr>
      <w:rFonts w:cs="FreeSans"/>
    </w:rPr>
  </w:style>
  <w:style w:styleId="style28" w:type="paragraph">
    <w:name w:val="Название"/>
    <w:basedOn w:val="style0"/>
    <w:next w:val="style28"/>
    <w:pPr>
      <w:suppressLineNumbers/>
      <w:spacing w:after="120" w:before="120"/>
    </w:pPr>
    <w:rPr>
      <w:rFonts w:cs="FreeSans"/>
      <w:i/>
      <w:iCs/>
      <w:sz w:val="24"/>
      <w:szCs w:val="24"/>
    </w:rPr>
  </w:style>
  <w:style w:styleId="style29" w:type="paragraph">
    <w:name w:val="Указатель"/>
    <w:basedOn w:val="style0"/>
    <w:next w:val="style29"/>
    <w:pPr>
      <w:suppressLineNumbers/>
    </w:pPr>
    <w:rPr>
      <w:rFonts w:cs="FreeSans"/>
    </w:rPr>
  </w:style>
  <w:style w:styleId="style30" w:type="paragraph">
    <w:name w:val="Нижний колонтитул"/>
    <w:basedOn w:val="style0"/>
    <w:next w:val="style30"/>
    <w:pPr>
      <w:suppressLineNumbers/>
      <w:tabs>
        <w:tab w:leader="none" w:pos="4819" w:val="center"/>
        <w:tab w:leader="none" w:pos="9639" w:val="right"/>
      </w:tabs>
    </w:pPr>
    <w:rPr/>
  </w:style>
  <w:style w:styleId="style31" w:type="paragraph">
    <w:name w:val="List Paragraph"/>
    <w:basedOn w:val="style0"/>
    <w:next w:val="style31"/>
    <w:pPr>
      <w:ind w:hanging="0" w:left="720" w:right="0"/>
    </w:pPr>
    <w:rPr/>
  </w:style>
  <w:style w:styleId="style32" w:type="paragraph">
    <w:name w:val="Верхний колонтитул"/>
    <w:basedOn w:val="style0"/>
    <w:next w:val="style32"/>
    <w:pPr>
      <w:suppressLineNumbers/>
      <w:tabs>
        <w:tab w:leader="none" w:pos="4677" w:val="center"/>
        <w:tab w:leader="none" w:pos="9355" w:val="right"/>
      </w:tabs>
    </w:pPr>
    <w:rPr/>
  </w:style>
  <w:style w:styleId="style33" w:type="paragraph">
    <w:name w:val="HTML Preformatted"/>
    <w:basedOn w:val="style0"/>
    <w:next w:val="style33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</w:pPr>
    <w:rPr>
      <w:rFonts w:ascii="Courier New" w:cs="Courier New" w:hAnsi="Courier New"/>
      <w:sz w:val="20"/>
      <w:szCs w:val="20"/>
      <w:lang w:eastAsia="en-US"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2015-03-29T16:26:00.00Z</dcterms:created>
  <dc:creator>Mark</dc:creator>
  <cp:lastModifiedBy>Mark</cp:lastModifiedBy>
  <dcterms:modified xsi:type="dcterms:W3CDTF">2015-11-13T10:32:00.00Z</dcterms:modified>
  <cp:revision>11</cp:revision>
</cp:coreProperties>
</file>